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FD" w:rsidRDefault="00211889" w:rsidP="00F374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89">
        <w:rPr>
          <w:rFonts w:ascii="Times New Roman" w:hAnsi="Times New Roman" w:cs="Times New Roman"/>
          <w:b/>
          <w:sz w:val="28"/>
          <w:szCs w:val="28"/>
        </w:rPr>
        <w:t>Нормативное регулирование использования гражданскими лицами пиротехнических изделий</w:t>
      </w:r>
    </w:p>
    <w:p w:rsidR="00F374FD" w:rsidRDefault="00F374FD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В период наступления новогодних праздников среди населения набирает популярность использования пиротехнических изделий в виде фейерверков, петард, ракет и т.д., которые в свою очередь являются источником угрозы для жизни, здоровья и имущества.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Законодательное определение пиротехнического изделия закреплено в Техническом регламенте Таможенного союза «О безопасности пиротехнических изделий» № 006/2011, утверждённом решением Комиссии Таможенного союза от 16.08.2011 № 770, согласно которому пиротехническое изделие — это изделие, предназначенное для получения требуемого эффекта с помощью горения (взрыва) пиротехнического состава.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889">
        <w:rPr>
          <w:rFonts w:ascii="Times New Roman" w:hAnsi="Times New Roman" w:cs="Times New Roman"/>
          <w:sz w:val="28"/>
          <w:szCs w:val="28"/>
        </w:rPr>
        <w:t>Пиротехнические изделия классифицируются на пожароопасные и взрывоопасные, а также бытового и технического назначения.</w:t>
      </w:r>
      <w:proofErr w:type="gramEnd"/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Стоит также отметить, что фейерверочное изделие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Порядок применения пиротехнических изделий закреплен в Правилах противопожарного режима в Российской Федерации, утвержденных постановлением Правительства Российской Федерации от 16.09.2020 № 1479, согласно которым применением пиротехнических изделий запрещено: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г) во время проведения митингов, демонстраций, шествий и пикетирования;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8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11889">
        <w:rPr>
          <w:rFonts w:ascii="Times New Roman" w:hAnsi="Times New Roman" w:cs="Times New Roman"/>
          <w:sz w:val="28"/>
          <w:szCs w:val="28"/>
        </w:rPr>
        <w:t>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Нарушение правил использования пиротехнических изделий может повлечь за собой различные виды ответственности, вплоть до уголовной.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lastRenderedPageBreak/>
        <w:t>Так, например, если в результате использования пиротехнического изделия причинен вред здоровью и (либо) имуществу, то в соответствии с п. 1 ст. 1079 Гражданского кодекса Российской Федерации юридические лица и граждане, деятельность которых связана с повышенной опасностью для окружающих, обязаны возместить вред, причиненный источником повышенной опасности. Размер возмещения вреда будет зависеть от размера причиненного ущерба.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 xml:space="preserve">Пиротехнические изделия в процессе их использования являются источником тепловой энергии в виде пламени, искр, взрывов, которые могут стать причиной неконтролируемого процесса горения, т.е. пожара. В соответствии со ст. 20.4. </w:t>
      </w:r>
      <w:proofErr w:type="gramStart"/>
      <w:r w:rsidRPr="00211889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для граждан в виде предупреждения или штрафа в размере до трех тысяч рублей, а в случае наступления последствий в виде возникновения пожара и уничтожения или повреждения чужого имущества, причинения легкого вреда здоровью человека либо вреда здоровью средней тяжести – в виде штрафа до пяти тысяч рублей.</w:t>
      </w:r>
      <w:proofErr w:type="gramEnd"/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В случае же если последствием использования пиротехнического изделия явился тяжкий вред здоровью или гибель человека, виновное лицо подлежит уголовной ответственности по ст. 218 Уголовного кодекса Российской Федерации, санкция которой предусматривает до 5 лет лишения свободы с лишением права занимать определенные должности или заниматься определенной деятельностью на срок до 3 лет.</w:t>
      </w:r>
    </w:p>
    <w:p w:rsidR="00211889" w:rsidRPr="00211889" w:rsidRDefault="00211889" w:rsidP="0021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89">
        <w:rPr>
          <w:rFonts w:ascii="Times New Roman" w:hAnsi="Times New Roman" w:cs="Times New Roman"/>
          <w:sz w:val="28"/>
          <w:szCs w:val="28"/>
        </w:rPr>
        <w:t>Также повреждение имущества в крупном размере путем неосторожного обращения с огнем или иным источником повышенной опасности ответственность является основанием для привлечения виновного лица к уголовной ответственности, предусмотренной ст. 168 Уголовного кодекса Российской Федерации наказание, по которому предусматривает до 1 года лишения свободы.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2020-10-23T04:23:00Z</dcterms:created>
  <dcterms:modified xsi:type="dcterms:W3CDTF">2021-12-29T05:02:00Z</dcterms:modified>
</cp:coreProperties>
</file>